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https://www.jp.usedmachinery.bz/machines/general_view/153597</w:t>
      </w:r>
    </w:p>
    <w:p w:rsid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bookmarkStart w:id="0" w:name="_GoBack"/>
      <w:bookmarkEnd w:id="0"/>
    </w:p>
    <w:p w:rsid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https://ncc-m.jp/show-all-data/machining-center/3156</w:t>
      </w:r>
    </w:p>
    <w:p w:rsid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Mold specification machine</w:t>
      </w: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Professional-5</w:t>
      </w: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Main axis: 30,000 rpm</w:t>
      </w: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HSK-F 63</w:t>
      </w: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25 ATCs</w:t>
      </w: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Cutting fluid temperature controller · mist collector · air dryer · super GI 4</w:t>
      </w: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· Program storage capacity 640 m · Number of registered programs 500 pieces</w:t>
      </w:r>
    </w:p>
    <w:p w:rsidR="00FE17EA" w:rsidRPr="00FE17EA" w:rsidRDefault="00FE17EA" w:rsidP="00FE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434343"/>
          <w:spacing w:val="8"/>
          <w:sz w:val="21"/>
          <w:szCs w:val="21"/>
        </w:rPr>
      </w:pPr>
      <w:r w:rsidRPr="00FE17EA">
        <w:rPr>
          <w:rFonts w:ascii="inherit" w:eastAsia="Times New Roman" w:hAnsi="inherit" w:cs="Courier New"/>
          <w:color w:val="434343"/>
          <w:spacing w:val="8"/>
          <w:sz w:val="21"/>
          <w:szCs w:val="21"/>
        </w:rPr>
        <w:t>· Data center memory extension function B (400 MB) · Tool correction 64 pieces</w:t>
      </w:r>
    </w:p>
    <w:p w:rsidR="00A23A76" w:rsidRDefault="00A23A76"/>
    <w:sectPr w:rsidR="00A2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9E"/>
    <w:rsid w:val="00A23A76"/>
    <w:rsid w:val="00A9039E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DD838-AA88-4F64-8AFB-8B940D6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7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saran_user05</dc:creator>
  <cp:keywords/>
  <dc:description/>
  <cp:lastModifiedBy>saran_user05</cp:lastModifiedBy>
  <cp:revision>3</cp:revision>
  <dcterms:created xsi:type="dcterms:W3CDTF">2017-02-02T12:05:00Z</dcterms:created>
  <dcterms:modified xsi:type="dcterms:W3CDTF">2017-02-02T12:07:00Z</dcterms:modified>
</cp:coreProperties>
</file>